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D74E36" w:rsidP="008F15C8">
      <w:pPr>
        <w:rPr>
          <w:lang w:eastAsia="hr-HR"/>
        </w:rPr>
      </w:pPr>
      <w:r>
        <w:rPr>
          <w:lang w:eastAsia="hr-HR"/>
        </w:rPr>
        <w:t xml:space="preserve">                                  </w:t>
      </w:r>
      <w:r w:rsidR="00465D96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31B5202" wp14:editId="4A25C2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3515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hr-HR"/>
        </w:rPr>
        <w:br w:type="textWrapping" w:clear="all"/>
      </w:r>
    </w:p>
    <w:p w:rsidR="00B77455" w:rsidRPr="00B77455" w:rsidRDefault="00B77455" w:rsidP="00B77455">
      <w:pPr>
        <w:rPr>
          <w:sz w:val="10"/>
          <w:szCs w:val="10"/>
        </w:rPr>
      </w:pPr>
    </w:p>
    <w:p w:rsidR="00B77455" w:rsidRPr="00F41591" w:rsidRDefault="00B77455" w:rsidP="00B77455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29BC1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D41BF3" w:rsidRPr="008430DD" w:rsidRDefault="00D41BF3" w:rsidP="00D41BF3">
      <w:pPr>
        <w:spacing w:before="120" w:after="120" w:line="276" w:lineRule="auto"/>
        <w:rPr>
          <w:rFonts w:asciiTheme="minorHAnsi" w:hAnsiTheme="minorHAnsi"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 xml:space="preserve">Objavljen </w:t>
      </w:r>
      <w:r w:rsidRPr="008430DD">
        <w:rPr>
          <w:rFonts w:asciiTheme="minorHAnsi" w:hAnsiTheme="minorHAnsi"/>
          <w:color w:val="auto"/>
          <w:sz w:val="26"/>
          <w:szCs w:val="26"/>
        </w:rPr>
        <w:t xml:space="preserve">poziv </w:t>
      </w:r>
      <w:bookmarkStart w:id="0" w:name="_GoBack"/>
      <w:r w:rsidRPr="008430DD">
        <w:rPr>
          <w:rFonts w:asciiTheme="minorHAnsi" w:hAnsiTheme="minorHAnsi"/>
          <w:color w:val="auto"/>
          <w:sz w:val="26"/>
          <w:szCs w:val="26"/>
        </w:rPr>
        <w:t>partnerima z</w:t>
      </w:r>
      <w:r>
        <w:rPr>
          <w:rFonts w:asciiTheme="minorHAnsi" w:hAnsiTheme="minorHAnsi"/>
          <w:color w:val="auto"/>
          <w:sz w:val="26"/>
          <w:szCs w:val="26"/>
        </w:rPr>
        <w:t>a razvoj i prodaju projekata OIE za 2020.</w:t>
      </w:r>
      <w:bookmarkEnd w:id="0"/>
    </w:p>
    <w:p w:rsidR="008430DD" w:rsidRPr="00F54A56" w:rsidRDefault="00D41BF3" w:rsidP="008430DD">
      <w:pPr>
        <w:spacing w:before="120" w:after="120" w:line="276" w:lineRule="auto"/>
        <w:rPr>
          <w:rFonts w:asciiTheme="minorHAnsi" w:hAnsiTheme="minorHAnsi"/>
          <w:color w:val="auto"/>
          <w:sz w:val="26"/>
          <w:szCs w:val="26"/>
        </w:rPr>
      </w:pPr>
      <w:r w:rsidRPr="00F54A56">
        <w:rPr>
          <w:rFonts w:asciiTheme="minorHAnsi" w:hAnsiTheme="minorHAnsi"/>
          <w:color w:val="auto"/>
          <w:sz w:val="26"/>
          <w:szCs w:val="26"/>
        </w:rPr>
        <w:t xml:space="preserve">HEP ĆE U SURADNJI S 11 OPĆINA I GRADOVA IZGRADITI 120 MW SUNČANIH ELEKTRANA </w:t>
      </w:r>
    </w:p>
    <w:p w:rsidR="0076694D" w:rsidRPr="0076694D" w:rsidRDefault="0076694D" w:rsidP="00A94ED3">
      <w:pPr>
        <w:pStyle w:val="ListParagraph"/>
        <w:numPr>
          <w:ilvl w:val="0"/>
          <w:numId w:val="2"/>
        </w:numPr>
        <w:tabs>
          <w:tab w:val="left" w:pos="709"/>
        </w:tabs>
        <w:ind w:left="714" w:hanging="357"/>
        <w:jc w:val="both"/>
        <w:rPr>
          <w:rFonts w:asciiTheme="minorHAnsi" w:hAnsiTheme="minorHAnsi"/>
          <w:b/>
          <w:sz w:val="28"/>
          <w:szCs w:val="28"/>
        </w:rPr>
      </w:pPr>
      <w:r w:rsidRPr="0076694D">
        <w:rPr>
          <w:rFonts w:asciiTheme="minorHAnsi" w:hAnsiTheme="minorHAnsi"/>
          <w:b/>
        </w:rPr>
        <w:t xml:space="preserve">Na temelju poziva partnerima </w:t>
      </w:r>
      <w:r>
        <w:rPr>
          <w:rFonts w:asciiTheme="minorHAnsi" w:hAnsiTheme="minorHAnsi"/>
          <w:b/>
        </w:rPr>
        <w:t xml:space="preserve">iz 2019. </w:t>
      </w:r>
      <w:r w:rsidRPr="0076694D">
        <w:rPr>
          <w:rFonts w:asciiTheme="minorHAnsi" w:hAnsiTheme="minorHAnsi"/>
          <w:b/>
        </w:rPr>
        <w:t>HEP je s 11 općina i gradova potpisao sporazume o razvoju projekata SE, ukupne snage 120 MW, proveo akviziciju projekata OIE u razvoju od ukupno 60 MW, a dodatnih je 100 MW sunčanih elektrana počeo razvijati samostalno</w:t>
      </w:r>
    </w:p>
    <w:p w:rsidR="008430DD" w:rsidRPr="0076694D" w:rsidRDefault="0076694D" w:rsidP="0076694D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>U izgradnju</w:t>
      </w:r>
      <w:r w:rsidRPr="0076694D">
        <w:rPr>
          <w:rFonts w:asciiTheme="minorHAnsi" w:hAnsiTheme="minorHAnsi"/>
          <w:b/>
        </w:rPr>
        <w:t xml:space="preserve"> sunčanih elektrana u razdoblju o</w:t>
      </w:r>
      <w:r>
        <w:rPr>
          <w:rFonts w:asciiTheme="minorHAnsi" w:hAnsiTheme="minorHAnsi"/>
          <w:b/>
        </w:rPr>
        <w:t>d 2019. do 2023. HEP ulaže 750 milijuna kuna</w:t>
      </w:r>
      <w:r w:rsidRPr="0076694D">
        <w:rPr>
          <w:rFonts w:asciiTheme="minorHAnsi" w:hAnsiTheme="minorHAnsi"/>
          <w:b/>
        </w:rPr>
        <w:t xml:space="preserve"> </w:t>
      </w:r>
    </w:p>
    <w:p w:rsidR="0076694D" w:rsidRPr="0076694D" w:rsidRDefault="0076694D" w:rsidP="0076694D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76694D">
        <w:rPr>
          <w:rFonts w:asciiTheme="minorHAnsi" w:hAnsiTheme="minorHAnsi"/>
          <w:b/>
        </w:rPr>
        <w:t xml:space="preserve">HEP je s 3,4 milijarde kuna u 2019. ostvario </w:t>
      </w:r>
      <w:r w:rsidR="00A94ED3">
        <w:rPr>
          <w:rFonts w:asciiTheme="minorHAnsi" w:hAnsiTheme="minorHAnsi"/>
          <w:b/>
        </w:rPr>
        <w:t xml:space="preserve">godišnji </w:t>
      </w:r>
      <w:r w:rsidRPr="0076694D">
        <w:rPr>
          <w:rFonts w:asciiTheme="minorHAnsi" w:hAnsiTheme="minorHAnsi"/>
          <w:b/>
        </w:rPr>
        <w:t xml:space="preserve">rast investicija za više od 40 posto, a plan za 2020. </w:t>
      </w:r>
      <w:r w:rsidR="00A94ED3">
        <w:rPr>
          <w:rFonts w:asciiTheme="minorHAnsi" w:hAnsiTheme="minorHAnsi"/>
          <w:b/>
        </w:rPr>
        <w:t>iznosi rek</w:t>
      </w:r>
      <w:r w:rsidRPr="0076694D">
        <w:rPr>
          <w:rFonts w:asciiTheme="minorHAnsi" w:hAnsiTheme="minorHAnsi"/>
          <w:b/>
        </w:rPr>
        <w:t>ordnih 4,9 milijardi kuna</w:t>
      </w:r>
    </w:p>
    <w:p w:rsidR="008430DD" w:rsidRPr="008430DD" w:rsidRDefault="008430DD" w:rsidP="008430DD">
      <w:pPr>
        <w:pStyle w:val="ListParagraph"/>
        <w:tabs>
          <w:tab w:val="left" w:pos="709"/>
        </w:tabs>
        <w:jc w:val="both"/>
        <w:rPr>
          <w:rFonts w:asciiTheme="minorHAnsi" w:hAnsiTheme="minorHAnsi"/>
        </w:rPr>
      </w:pPr>
    </w:p>
    <w:p w:rsidR="007254F4" w:rsidRPr="008430DD" w:rsidRDefault="003E6D1E" w:rsidP="00D41BF3">
      <w:pPr>
        <w:tabs>
          <w:tab w:val="left" w:pos="709"/>
        </w:tabs>
        <w:spacing w:after="120"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430DD">
        <w:rPr>
          <w:rFonts w:asciiTheme="minorHAnsi" w:hAnsiTheme="minorHAnsi"/>
          <w:color w:val="auto"/>
          <w:sz w:val="24"/>
          <w:szCs w:val="24"/>
        </w:rPr>
        <w:t>ZAGREB</w:t>
      </w:r>
      <w:r w:rsidR="00B77455" w:rsidRPr="008430DD"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8430DD">
        <w:rPr>
          <w:rFonts w:asciiTheme="minorHAnsi" w:hAnsiTheme="minorHAnsi"/>
          <w:color w:val="auto"/>
          <w:sz w:val="24"/>
          <w:szCs w:val="24"/>
        </w:rPr>
        <w:t>2</w:t>
      </w:r>
      <w:r w:rsidR="00CD36CB" w:rsidRPr="008430DD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691235" w:rsidRPr="008430DD">
        <w:rPr>
          <w:rFonts w:asciiTheme="minorHAnsi" w:hAnsiTheme="minorHAnsi"/>
          <w:color w:val="auto"/>
          <w:sz w:val="24"/>
          <w:szCs w:val="24"/>
        </w:rPr>
        <w:t>SRPNJA</w:t>
      </w:r>
      <w:r w:rsidR="00CD36CB" w:rsidRPr="008430DD">
        <w:rPr>
          <w:rFonts w:asciiTheme="minorHAnsi" w:hAnsiTheme="minorHAnsi"/>
          <w:color w:val="auto"/>
          <w:sz w:val="24"/>
          <w:szCs w:val="24"/>
        </w:rPr>
        <w:t xml:space="preserve"> 2020. – </w:t>
      </w:r>
      <w:r w:rsidR="008430DD" w:rsidRPr="008430DD">
        <w:rPr>
          <w:rFonts w:asciiTheme="minorHAnsi" w:hAnsiTheme="minorHAnsi"/>
          <w:color w:val="auto"/>
          <w:sz w:val="24"/>
          <w:szCs w:val="24"/>
        </w:rPr>
        <w:t xml:space="preserve">Hrvatska elektroprivreda objavila je danas </w:t>
      </w:r>
      <w:r w:rsidR="008430DD" w:rsidRPr="008430DD">
        <w:rPr>
          <w:rFonts w:asciiTheme="minorHAnsi" w:hAnsiTheme="minorHAnsi"/>
          <w:bCs/>
          <w:iCs/>
          <w:color w:val="auto"/>
          <w:sz w:val="24"/>
          <w:szCs w:val="24"/>
        </w:rPr>
        <w:t xml:space="preserve">javni poziv zainteresiranim partnerima za iskazivanjem interesa za razvoj i prodaju projekata obnovljivih izvora energije na području Republike Hrvatske. Na temelju rezultata javnog poziva za 2019. godinu, HEP je </w:t>
      </w:r>
      <w:r w:rsidR="00D41BF3">
        <w:rPr>
          <w:rFonts w:asciiTheme="minorHAnsi" w:hAnsiTheme="minorHAnsi"/>
          <w:bCs/>
          <w:iCs/>
          <w:color w:val="auto"/>
          <w:sz w:val="24"/>
          <w:szCs w:val="24"/>
        </w:rPr>
        <w:t xml:space="preserve">s </w:t>
      </w:r>
      <w:r w:rsidR="008430DD" w:rsidRPr="008430DD">
        <w:rPr>
          <w:rFonts w:asciiTheme="minorHAnsi" w:hAnsiTheme="minorHAnsi"/>
          <w:bCs/>
          <w:iCs/>
          <w:color w:val="auto"/>
          <w:sz w:val="24"/>
          <w:szCs w:val="24"/>
        </w:rPr>
        <w:t xml:space="preserve">11 jedinica lokalne samouprave potpisao sporazume o razvoju projekata sunčanih elektrana ukupne snage 120 MW. </w:t>
      </w:r>
    </w:p>
    <w:p w:rsidR="00D41BF3" w:rsidRDefault="003E6D1E" w:rsidP="008430DD">
      <w:pPr>
        <w:spacing w:after="60"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Novi </w:t>
      </w:r>
      <w:r w:rsidR="00D41BF3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javni poziv zainteresiranim partnerima </w:t>
      </w:r>
      <w:r w:rsidR="008430DD" w:rsidRPr="008430D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otvoren </w:t>
      </w:r>
      <w:r w:rsidR="009A088C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je </w:t>
      </w:r>
      <w:r w:rsidR="008430DD" w:rsidRPr="008430D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do 31. </w:t>
      </w:r>
      <w:r w:rsidR="009A088C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</w:t>
      </w:r>
      <w:r w:rsidR="008430DD" w:rsidRPr="008430DD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rosinca</w:t>
      </w:r>
      <w:r w:rsidR="00D41BF3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2020. Poziv je upućen jedinicama lokalne samouprave radi</w:t>
      </w:r>
      <w:r w:rsidR="00B01A9F"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zajed</w:t>
      </w:r>
      <w:r w:rsidR="00D41BF3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ničke pripreme razvojne</w:t>
      </w:r>
      <w:r w:rsidR="00B01A9F"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dokumentacije za </w:t>
      </w:r>
      <w:r w:rsidR="00D41BF3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projekte sunčanih elektrana</w:t>
      </w:r>
      <w:r w:rsidR="00B01A9F"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 w:rsidR="00D41BF3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(SE) te pravnim ili fizičkim osobama zainteresiranima</w:t>
      </w:r>
      <w:r w:rsidR="00B01A9F"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za prodaju projekata neintegriranih (samostojećih) SE u razvoju snage veće ili jednake 2 MW, </w:t>
      </w:r>
      <w:proofErr w:type="spellStart"/>
      <w:r w:rsidR="00B01A9F"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vjetroelektrana</w:t>
      </w:r>
      <w:proofErr w:type="spellEnd"/>
      <w:r w:rsidR="00B01A9F"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u razvoju ili u pogonu te hidroelektrana u razvoju ili u pogonu snage veće i jednake 1 MW</w:t>
      </w:r>
      <w:r w:rsid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</w:t>
      </w:r>
      <w:r w:rsidR="00D41BF3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</w:p>
    <w:p w:rsidR="00492104" w:rsidRDefault="00492104" w:rsidP="008430DD">
      <w:pPr>
        <w:spacing w:after="60"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„</w:t>
      </w:r>
      <w:r w:rsidRPr="0049210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Čestitao bih HEP-u na vizionarstvu i </w:t>
      </w:r>
      <w:proofErr w:type="spellStart"/>
      <w:r w:rsidRPr="0049210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proaktivnoj</w:t>
      </w:r>
      <w:proofErr w:type="spellEnd"/>
      <w:r w:rsidRPr="0049210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politici koju je pokazao surađujući s jedinicama lokalne samouprave pri realizaciji ovih projekata. Kompatibilnost strategija HEP-a  i Vlade RH pokazatelj je da HEP zaslužuje biti kompanija koja će biti nositelj tranzicije Hrvatske u </w:t>
      </w:r>
      <w:proofErr w:type="spellStart"/>
      <w:r w:rsidRPr="0049210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>niskougljučno</w:t>
      </w:r>
      <w:proofErr w:type="spellEnd"/>
      <w:r w:rsidRPr="00492104">
        <w:rPr>
          <w:rFonts w:asciiTheme="minorHAnsi" w:hAnsiTheme="minorHAnsi"/>
          <w:b w:val="0"/>
          <w:bCs/>
          <w:i/>
          <w:iCs/>
          <w:color w:val="auto"/>
          <w:sz w:val="24"/>
          <w:szCs w:val="24"/>
        </w:rPr>
        <w:t xml:space="preserve"> gospodarstvo. Nadam se da će ovaj primjer dobre prakse poslužiti i privatnim investitorima kao vodilja smjera u kojem se trebamo kretati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“, izjavio je </w:t>
      </w:r>
      <w:r w:rsidR="00973C68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izaslanik predsjednika Vlade Republike Hrvatske, ministar zaštite okoliša i energetike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Tomislav Ćorić.</w:t>
      </w:r>
    </w:p>
    <w:p w:rsidR="00FA6855" w:rsidRDefault="00443E3C" w:rsidP="008430DD">
      <w:pPr>
        <w:spacing w:after="60"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Na objavu novog javnog</w:t>
      </w:r>
      <w:r w:rsidR="00B01A9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poziv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a, HEP se odlučio na temelju dobrog iskustva s odzivom na prethodni poziv iz </w:t>
      </w:r>
      <w:r w:rsidR="00DC3938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2019. godine. Na temelju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analize zaprimljenih iskaza interesa i komunikacije s </w:t>
      </w:r>
      <w:r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jedinica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ma</w:t>
      </w:r>
      <w:r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lokalne samouprave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kao</w:t>
      </w:r>
      <w:r w:rsidR="00DC3938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potencijalnim partnerima, </w:t>
      </w:r>
      <w:r w:rsidR="00DC3938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HEP je </w:t>
      </w:r>
      <w:r w:rsidR="003E6D1E"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od rujna 2019. do travnja 2020. s 11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općina i gradova </w:t>
      </w:r>
      <w:r w:rsidR="003E6D1E"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potpisao sporazume o razvoju projekata sunčanih elektrana</w:t>
      </w:r>
      <w:r w:rsidR="00411246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, ukupne snage 120 MW</w:t>
      </w:r>
      <w:r w:rsidR="003E6D1E"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</w:t>
      </w:r>
      <w:r w:rsid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 w:rsidR="008962AB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Dodatnih 60 </w:t>
      </w:r>
      <w:proofErr w:type="spellStart"/>
      <w:r w:rsidR="008962AB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megavata</w:t>
      </w:r>
      <w:proofErr w:type="spellEnd"/>
      <w:r w:rsidR="008962AB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HEP je na temelju poziva osigurao ugovorenim akvizicijama projekata u razvoju, dok je 100 </w:t>
      </w:r>
      <w:proofErr w:type="spellStart"/>
      <w:r w:rsidR="008962AB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megavata</w:t>
      </w:r>
      <w:proofErr w:type="spellEnd"/>
      <w:r w:rsidR="008962AB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potencijalna ukupna snaga sunčanih elektrana koje </w:t>
      </w:r>
      <w:r w:rsidR="00FA6855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je </w:t>
      </w:r>
      <w:r w:rsidR="008962AB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HEP </w:t>
      </w:r>
      <w:r w:rsidR="00FA6855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počeo </w:t>
      </w:r>
      <w:r w:rsidR="008962AB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samostalno razvija</w:t>
      </w:r>
      <w:r w:rsidR="00FA6855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ti</w:t>
      </w:r>
      <w:r w:rsidR="008962AB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na nekoliko drugih lokacija.</w:t>
      </w:r>
      <w:r w:rsidR="008962A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</w:p>
    <w:p w:rsidR="003E6D1E" w:rsidRPr="008962AB" w:rsidRDefault="00443E3C" w:rsidP="008430DD">
      <w:pPr>
        <w:spacing w:after="60"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</w:t>
      </w:r>
      <w:r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rema </w:t>
      </w:r>
      <w:r w:rsid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potpisanim sporazumima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, dio jedinica</w:t>
      </w:r>
      <w:r w:rsidR="003E6D1E" w:rsidRPr="003E6D1E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lokalne samouprave projektnu dokumentaciju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priprema</w:t>
      </w:r>
      <w:r w:rsidR="003E6D1E" w:rsidRPr="00B01A9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do ishođenja lokacijske dozvole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 To su općine</w:t>
      </w:r>
      <w:r w:rsidR="00B01A9F" w:rsidRPr="00B01A9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Kršan, Lipovljani</w:t>
      </w:r>
      <w:r w:rsidR="009763BC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, </w:t>
      </w:r>
      <w:r w:rsidR="00B01A9F" w:rsidRPr="00B01A9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Sućuraj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i</w:t>
      </w:r>
      <w:r w:rsidR="00B01A9F" w:rsidRPr="00B01A9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proofErr w:type="spellStart"/>
      <w:r w:rsidR="00B01A9F" w:rsidRPr="00B01A9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Viljevo</w:t>
      </w:r>
      <w:proofErr w:type="spellEnd"/>
      <w:r w:rsidR="00DC3938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te</w:t>
      </w:r>
      <w:r w:rsidR="00B01A9F" w:rsidRPr="00B01A9F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Grad Mali Lošinj.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Ostale </w:t>
      </w:r>
      <w:r w:rsidR="00B01A9F" w:rsidRPr="00B01A9F">
        <w:rPr>
          <w:rFonts w:asciiTheme="minorHAnsi" w:hAnsiTheme="minorHAnsi"/>
          <w:b w:val="0"/>
          <w:color w:val="auto"/>
          <w:sz w:val="24"/>
          <w:szCs w:val="24"/>
        </w:rPr>
        <w:t>jedinice lokalne samouprave projektnu dokumentaciju pripremaju d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o ishođenja </w:t>
      </w:r>
      <w:r>
        <w:rPr>
          <w:rFonts w:asciiTheme="minorHAnsi" w:hAnsiTheme="minorHAnsi"/>
          <w:b w:val="0"/>
          <w:color w:val="auto"/>
          <w:sz w:val="24"/>
          <w:szCs w:val="24"/>
        </w:rPr>
        <w:lastRenderedPageBreak/>
        <w:t>građevinske dozvole, a to su</w:t>
      </w:r>
      <w:r w:rsidR="00B01A9F" w:rsidRPr="00B01A9F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gradovi </w:t>
      </w:r>
      <w:r w:rsidR="00B01A9F" w:rsidRPr="00B01A9F">
        <w:rPr>
          <w:rFonts w:asciiTheme="minorHAnsi" w:hAnsiTheme="minorHAnsi"/>
          <w:b w:val="0"/>
          <w:color w:val="auto"/>
          <w:sz w:val="24"/>
          <w:szCs w:val="24"/>
        </w:rPr>
        <w:t xml:space="preserve">Lipik, </w:t>
      </w:r>
      <w:r w:rsidRPr="00B01A9F">
        <w:rPr>
          <w:rFonts w:asciiTheme="minorHAnsi" w:hAnsiTheme="minorHAnsi"/>
          <w:b w:val="0"/>
          <w:color w:val="auto"/>
          <w:sz w:val="24"/>
          <w:szCs w:val="24"/>
        </w:rPr>
        <w:t>Novska</w:t>
      </w:r>
      <w:r>
        <w:rPr>
          <w:rFonts w:asciiTheme="minorHAnsi" w:hAnsiTheme="minorHAnsi"/>
          <w:b w:val="0"/>
          <w:color w:val="auto"/>
          <w:sz w:val="24"/>
          <w:szCs w:val="24"/>
        </w:rPr>
        <w:t>, Križevci i Ludbreg te općine</w:t>
      </w:r>
      <w:r w:rsidR="00B01A9F" w:rsidRPr="00B01A9F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B01A9F" w:rsidRPr="00B01A9F">
        <w:rPr>
          <w:rFonts w:asciiTheme="minorHAnsi" w:hAnsiTheme="minorHAnsi"/>
          <w:b w:val="0"/>
          <w:color w:val="auto"/>
          <w:sz w:val="24"/>
          <w:szCs w:val="24"/>
        </w:rPr>
        <w:t>Bedekovčina</w:t>
      </w:r>
      <w:proofErr w:type="spellEnd"/>
      <w:r>
        <w:rPr>
          <w:rFonts w:asciiTheme="minorHAnsi" w:hAnsiTheme="minorHAnsi"/>
          <w:b w:val="0"/>
          <w:color w:val="auto"/>
          <w:sz w:val="24"/>
          <w:szCs w:val="24"/>
        </w:rPr>
        <w:t xml:space="preserve"> i </w:t>
      </w:r>
      <w:proofErr w:type="spellStart"/>
      <w:r w:rsidRPr="008962AB">
        <w:rPr>
          <w:rFonts w:asciiTheme="minorHAnsi" w:hAnsiTheme="minorHAnsi"/>
          <w:b w:val="0"/>
          <w:color w:val="auto"/>
          <w:sz w:val="24"/>
          <w:szCs w:val="24"/>
        </w:rPr>
        <w:t>M</w:t>
      </w:r>
      <w:r w:rsidR="00B01A9F" w:rsidRPr="008962AB">
        <w:rPr>
          <w:rFonts w:asciiTheme="minorHAnsi" w:hAnsiTheme="minorHAnsi"/>
          <w:b w:val="0"/>
          <w:color w:val="auto"/>
          <w:sz w:val="24"/>
          <w:szCs w:val="24"/>
        </w:rPr>
        <w:t>arijanci</w:t>
      </w:r>
      <w:proofErr w:type="spellEnd"/>
      <w:r w:rsidRPr="008962AB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D41BF3" w:rsidRPr="008962AB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884CC2" w:rsidRPr="008962AB" w:rsidRDefault="00A40EB5" w:rsidP="008962AB">
      <w:pPr>
        <w:spacing w:after="60" w:line="276" w:lineRule="auto"/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 w:rsidRPr="008962AB">
        <w:rPr>
          <w:rFonts w:asciiTheme="minorHAnsi" w:hAnsiTheme="minorHAnsi" w:cstheme="minorHAnsi"/>
          <w:b w:val="0"/>
          <w:bCs/>
          <w:iCs/>
          <w:color w:val="auto"/>
          <w:sz w:val="24"/>
          <w:szCs w:val="24"/>
        </w:rPr>
        <w:t>„</w:t>
      </w:r>
      <w:r w:rsidR="008962AB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 xml:space="preserve">Suradnja s lokalnom zajednicom pomaže nam ubrzati realizaciju našeg obnovljivog scenarija razvoja. S druge strane, općine i gradovi imaju priliku da se jače angažiraju na razvoju održive energetske infrastrukture na svom području što će doprinijeti njihovom gospodarskom i ukupnom razvoju. </w:t>
      </w:r>
      <w:r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Mi u HEP-u shvaćamo svoju ulogu jednog od najvećih investitora u Hrvatsk</w:t>
      </w:r>
      <w:r w:rsidR="00443E3C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oj i pokretača gospodarstva</w:t>
      </w:r>
      <w:r w:rsidR="008962AB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 xml:space="preserve">. Zato smo </w:t>
      </w:r>
      <w:r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bez oklijevanja nastavi</w:t>
      </w:r>
      <w:r w:rsidR="008962AB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l</w:t>
      </w:r>
      <w:r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i s realizacijom plana investicija i ulaganjima u kojima je snažno zastupljena domaća komponenta</w:t>
      </w:r>
      <w:r w:rsidR="00411246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 xml:space="preserve">. </w:t>
      </w:r>
      <w:r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Ne samo da investicijski ciklus HEP grupe nije zaustavljen ili usporen, već smo plan investicija za 2020. godinu utvrdili u do sada najvećem iznosu u povijesti Hrvatske elektroprivrede, na 4,9 milijardi kuna. Već smo prošle godine, s 3,4 milijarde kuna ostvarili rast investicija na godišnjoj razini za više od 40 posto, a planom za ovu godinu postavili smo još ambicioznije ciljeve.</w:t>
      </w:r>
      <w:r w:rsidR="00411246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 xml:space="preserve"> </w:t>
      </w:r>
      <w:r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S jednakim ćemo intenzitetom nastaviti investicijski ciklus s planiranim ulaganjima od 14,5 milijardi kuna u razdoblju od 2021. do 2024. godine.</w:t>
      </w:r>
      <w:r w:rsidR="00411246" w:rsidRPr="008962A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962AB" w:rsidRPr="008962AB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U ovom trenutku u izgradnji imamo </w:t>
      </w:r>
      <w:proofErr w:type="spellStart"/>
      <w:r w:rsidR="008962AB" w:rsidRPr="008962AB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hidroenergetski</w:t>
      </w:r>
      <w:proofErr w:type="spellEnd"/>
      <w:r w:rsidR="008962AB" w:rsidRPr="008962AB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sustav Kosinj/Senj2, najveći projekt HEP-a u samostalnoj Hrvatskoj, vrijednosti 3,4 milijarde kuna, novi visokoučinkoviti blok u Elektrani-toplani Zagreb, u koji ulažemo 900 milijuna kuna, </w:t>
      </w:r>
      <w:proofErr w:type="spellStart"/>
      <w:r w:rsidR="008962AB" w:rsidRPr="008962AB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vjetroelektranu</w:t>
      </w:r>
      <w:proofErr w:type="spellEnd"/>
      <w:r w:rsidR="008962AB" w:rsidRPr="008962AB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</w:t>
      </w:r>
      <w:proofErr w:type="spellStart"/>
      <w:r w:rsidR="008962AB" w:rsidRPr="008962AB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Korlat</w:t>
      </w:r>
      <w:proofErr w:type="spellEnd"/>
      <w:r w:rsidR="008962AB" w:rsidRPr="008962AB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vrijednosti 500 milijuna kuna, i šest sunčanih elektrana. </w:t>
      </w:r>
      <w:r w:rsidR="00411246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 xml:space="preserve">Naš je plan do 2030. godine u proizvodnim kapacitetima imati novih 1.500 </w:t>
      </w:r>
      <w:proofErr w:type="spellStart"/>
      <w:r w:rsidR="00411246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megavata</w:t>
      </w:r>
      <w:proofErr w:type="spellEnd"/>
      <w:r w:rsidR="00411246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 xml:space="preserve">, od čega 350 </w:t>
      </w:r>
      <w:proofErr w:type="spellStart"/>
      <w:r w:rsidR="00411246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megavata</w:t>
      </w:r>
      <w:proofErr w:type="spellEnd"/>
      <w:r w:rsidR="00411246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 xml:space="preserve"> u </w:t>
      </w:r>
      <w:proofErr w:type="spellStart"/>
      <w:r w:rsidR="00411246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vjetroelektranama</w:t>
      </w:r>
      <w:proofErr w:type="spellEnd"/>
      <w:r w:rsidR="00411246" w:rsidRPr="008962AB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, a jednako toliko i u sunčanim elektranama</w:t>
      </w:r>
      <w:r w:rsidR="00492104">
        <w:rPr>
          <w:rFonts w:asciiTheme="minorHAnsi" w:hAnsiTheme="minorHAnsi" w:cstheme="minorHAnsi"/>
          <w:b w:val="0"/>
          <w:bCs/>
          <w:i/>
          <w:iCs/>
          <w:color w:val="auto"/>
          <w:sz w:val="24"/>
          <w:szCs w:val="24"/>
        </w:rPr>
        <w:t>“</w:t>
      </w:r>
      <w:r w:rsidR="00411246" w:rsidRPr="008962AB">
        <w:rPr>
          <w:rFonts w:asciiTheme="minorHAnsi" w:hAnsiTheme="minorHAnsi" w:cstheme="minorHAnsi"/>
          <w:b w:val="0"/>
          <w:bCs/>
          <w:iCs/>
          <w:color w:val="auto"/>
          <w:sz w:val="24"/>
          <w:szCs w:val="24"/>
        </w:rPr>
        <w:t>,</w:t>
      </w:r>
      <w:r w:rsidR="00411246" w:rsidRPr="008962A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izjavio je Frane Barbarić, predsjednik Up</w:t>
      </w:r>
      <w:r w:rsidR="00884CC2" w:rsidRPr="008962A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rave Hrvatske elektroprivrede</w:t>
      </w:r>
      <w:r w:rsidR="008962A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.</w:t>
      </w:r>
      <w:r w:rsidR="00164F1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</w:t>
      </w:r>
    </w:p>
    <w:p w:rsidR="00FA6855" w:rsidRPr="00FA6855" w:rsidRDefault="0076694D" w:rsidP="00FA6855">
      <w:pPr>
        <w:jc w:val="both"/>
        <w:rPr>
          <w:rFonts w:asciiTheme="minorHAnsi" w:hAnsiTheme="minorHAnsi"/>
          <w:b w:val="0"/>
          <w:bCs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U ciklus</w:t>
      </w:r>
      <w:r w:rsidR="00164F1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izgradnje </w:t>
      </w:r>
      <w:r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sunčanih elektrana u razdoblju od 2019. do 2023. HEP će uložiti 750 milijuna kuna. Te i ostale n</w:t>
      </w:r>
      <w:r w:rsidR="00884CC2" w:rsidRPr="008962AB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ovoizgrađene HEP-ove elektrane pomoći će ispunjenju obveza Hrvatske u provedbi ambicioznih energetsko-klimatskih ciljeva Europske unije, a koji su nedavno dobili svoj okvir u obliku Europskog zelenog plana. </w:t>
      </w:r>
      <w:r w:rsidR="00FA6855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Za financiranje obnovljivog scenarija razvoja </w:t>
      </w:r>
      <w:r w:rsid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>HEP koristi</w:t>
      </w:r>
      <w:r w:rsidR="00FA6855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i europska sredstva</w:t>
      </w:r>
      <w:r w:rsid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te je u posljednje tri godine iz fondova EU povukao</w:t>
      </w:r>
      <w:r w:rsidR="00FA6855" w:rsidRPr="00FA6855">
        <w:rPr>
          <w:rFonts w:asciiTheme="minorHAnsi" w:hAnsiTheme="minorHAnsi"/>
          <w:b w:val="0"/>
          <w:bCs/>
          <w:iCs/>
          <w:color w:val="auto"/>
          <w:sz w:val="24"/>
          <w:szCs w:val="24"/>
        </w:rPr>
        <w:t xml:space="preserve"> sredstva u iznosu od oko milijardu kuna.</w:t>
      </w:r>
    </w:p>
    <w:p w:rsidR="00B77455" w:rsidRPr="008962AB" w:rsidRDefault="00B77455" w:rsidP="00E564EB">
      <w:pPr>
        <w:pBdr>
          <w:bottom w:val="single" w:sz="4" w:space="1" w:color="auto"/>
        </w:pBdr>
        <w:jc w:val="both"/>
        <w:rPr>
          <w:rFonts w:asciiTheme="minorHAnsi" w:hAnsiTheme="minorHAnsi"/>
          <w:b w:val="0"/>
          <w:color w:val="404040" w:themeColor="text1" w:themeTint="BF"/>
          <w:sz w:val="24"/>
          <w:szCs w:val="24"/>
        </w:rPr>
      </w:pPr>
    </w:p>
    <w:p w:rsidR="007B1CBB" w:rsidRDefault="00B77455" w:rsidP="00F54A56">
      <w:pPr>
        <w:pBdr>
          <w:bottom w:val="dotted" w:sz="24" w:space="1" w:color="auto"/>
        </w:pBd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4"/>
          <w:szCs w:val="24"/>
        </w:rPr>
      </w:pPr>
      <w:r w:rsidRPr="0042747D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Kontakt:  </w:t>
      </w:r>
      <w:r w:rsidR="0072495B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Sektor za korporativne komunikacije, </w:t>
      </w:r>
      <w:hyperlink r:id="rId10" w:history="1">
        <w:r w:rsidR="0072495B" w:rsidRPr="00CB47A0">
          <w:rPr>
            <w:rStyle w:val="Hyperlink"/>
            <w:rFonts w:asciiTheme="minorHAnsi" w:hAnsiTheme="minorHAnsi"/>
            <w:b w:val="0"/>
            <w:sz w:val="24"/>
            <w:szCs w:val="24"/>
          </w:rPr>
          <w:t>odnosisjavnoscu@hep.hr</w:t>
        </w:r>
      </w:hyperlink>
      <w:r w:rsidR="0072495B">
        <w:rPr>
          <w:rFonts w:asciiTheme="minorHAnsi" w:hAnsiTheme="minorHAnsi"/>
          <w:b w:val="0"/>
          <w:color w:val="404040" w:themeColor="text1" w:themeTint="BF"/>
          <w:sz w:val="24"/>
          <w:szCs w:val="24"/>
        </w:rPr>
        <w:t xml:space="preserve"> </w:t>
      </w:r>
    </w:p>
    <w:p w:rsidR="00F54A56" w:rsidRPr="00F54A56" w:rsidRDefault="008F15C8" w:rsidP="00053D0E">
      <w:pPr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color w:val="404040" w:themeColor="text1" w:themeTint="BF"/>
          <w:sz w:val="24"/>
          <w:szCs w:val="24"/>
        </w:rPr>
        <w:t xml:space="preserve">Obavijest o zahtjevu za iskazivanjem interesa za 2020. dostupna </w:t>
      </w:r>
      <w:r w:rsidR="00F54A56" w:rsidRPr="00F54A56">
        <w:rPr>
          <w:rFonts w:asciiTheme="minorHAnsi" w:hAnsiTheme="minorHAnsi"/>
          <w:color w:val="404040" w:themeColor="text1" w:themeTint="BF"/>
          <w:sz w:val="24"/>
          <w:szCs w:val="24"/>
        </w:rPr>
        <w:t xml:space="preserve">je </w:t>
      </w:r>
      <w:hyperlink r:id="rId11" w:history="1">
        <w:r w:rsidR="00F54A56" w:rsidRPr="00F54A56">
          <w:rPr>
            <w:rStyle w:val="Hyperlink"/>
            <w:rFonts w:asciiTheme="minorHAnsi" w:hAnsiTheme="minorHAnsi"/>
            <w:sz w:val="24"/>
            <w:szCs w:val="24"/>
          </w:rPr>
          <w:t>ovdje</w:t>
        </w:r>
      </w:hyperlink>
    </w:p>
    <w:p w:rsidR="00B01A9F" w:rsidRPr="00F54A56" w:rsidRDefault="00F54A56" w:rsidP="00053D0E">
      <w:pPr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F54A56">
        <w:rPr>
          <w:rFonts w:asciiTheme="minorHAnsi" w:hAnsiTheme="minorHAnsi"/>
          <w:color w:val="404040" w:themeColor="text1" w:themeTint="BF"/>
          <w:sz w:val="24"/>
          <w:szCs w:val="24"/>
        </w:rPr>
        <w:t xml:space="preserve">Jedinice </w:t>
      </w:r>
      <w:r w:rsidR="008F15C8">
        <w:rPr>
          <w:rFonts w:asciiTheme="minorHAnsi" w:hAnsiTheme="minorHAnsi"/>
          <w:color w:val="404040" w:themeColor="text1" w:themeTint="BF"/>
          <w:sz w:val="24"/>
          <w:szCs w:val="24"/>
        </w:rPr>
        <w:t>lokalne samouprave koje su s HEP</w:t>
      </w:r>
      <w:r w:rsidRPr="00F54A56">
        <w:rPr>
          <w:rFonts w:asciiTheme="minorHAnsi" w:hAnsiTheme="minorHAnsi"/>
          <w:color w:val="404040" w:themeColor="text1" w:themeTint="BF"/>
          <w:sz w:val="24"/>
          <w:szCs w:val="24"/>
        </w:rPr>
        <w:t>-om potpisale sporazume o suradnji s na razvoju sunčanih elektrana:</w:t>
      </w:r>
    </w:p>
    <w:p w:rsidR="00884CC2" w:rsidRPr="00884CC2" w:rsidRDefault="00884CC2" w:rsidP="00053D0E">
      <w:pPr>
        <w:pStyle w:val="ListParagraph"/>
        <w:numPr>
          <w:ilvl w:val="0"/>
          <w:numId w:val="3"/>
        </w:numPr>
        <w:spacing w:after="80" w:line="192" w:lineRule="auto"/>
        <w:ind w:left="0" w:hanging="357"/>
        <w:jc w:val="both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Općina Kršan u Istarskoj županiji za projekt Sunčane elektrane Nova Vas, očekivane priključne snage 40 MW </w:t>
      </w:r>
    </w:p>
    <w:p w:rsidR="00884CC2" w:rsidRPr="00884CC2" w:rsidRDefault="00884CC2" w:rsidP="00053D0E">
      <w:pPr>
        <w:pStyle w:val="ListParagraph"/>
        <w:numPr>
          <w:ilvl w:val="0"/>
          <w:numId w:val="3"/>
        </w:numPr>
        <w:spacing w:after="80" w:line="192" w:lineRule="auto"/>
        <w:ind w:left="0" w:hanging="357"/>
        <w:jc w:val="both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Općina Lipovljani u Sisačko-moslavačkoj županiji za projekt Sunčane elektrane Lipovljani, 25 MW</w:t>
      </w:r>
    </w:p>
    <w:p w:rsidR="00884CC2" w:rsidRPr="00884CC2" w:rsidRDefault="00884CC2" w:rsidP="00053D0E">
      <w:pPr>
        <w:pStyle w:val="ListParagraph"/>
        <w:numPr>
          <w:ilvl w:val="0"/>
          <w:numId w:val="3"/>
        </w:numPr>
        <w:spacing w:after="80" w:line="192" w:lineRule="auto"/>
        <w:ind w:left="0" w:hanging="357"/>
        <w:jc w:val="both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Općina Sućuraj u Splitsko-dalmatinskoj županiji, za projekt Sunčane elektrane Bogomolje, 8 MW</w:t>
      </w:r>
    </w:p>
    <w:p w:rsidR="00884CC2" w:rsidRPr="00884CC2" w:rsidRDefault="00884CC2" w:rsidP="00053D0E">
      <w:pPr>
        <w:pStyle w:val="ListParagraph"/>
        <w:numPr>
          <w:ilvl w:val="0"/>
          <w:numId w:val="3"/>
        </w:numPr>
        <w:spacing w:after="80" w:line="192" w:lineRule="auto"/>
        <w:ind w:left="0" w:hanging="357"/>
        <w:jc w:val="both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Općina </w:t>
      </w:r>
      <w:proofErr w:type="spellStart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Viljevo</w:t>
      </w:r>
      <w:proofErr w:type="spellEnd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 u Osječko-baranjskoj županiji za projekt Sun</w:t>
      </w:r>
      <w:r w:rsidR="00FA6855">
        <w:rPr>
          <w:rFonts w:asciiTheme="minorHAnsi" w:hAnsiTheme="minorHAnsi"/>
          <w:color w:val="404040" w:themeColor="text1" w:themeTint="BF"/>
          <w:sz w:val="21"/>
          <w:szCs w:val="21"/>
        </w:rPr>
        <w:t>čane elektrane Krnjak, 10 MW</w:t>
      </w:r>
    </w:p>
    <w:p w:rsidR="00884CC2" w:rsidRPr="00884CC2" w:rsidRDefault="00884CC2" w:rsidP="00053D0E">
      <w:pPr>
        <w:pStyle w:val="ListParagraph"/>
        <w:numPr>
          <w:ilvl w:val="0"/>
          <w:numId w:val="3"/>
        </w:numPr>
        <w:spacing w:after="80" w:line="192" w:lineRule="auto"/>
        <w:ind w:left="0" w:hanging="357"/>
        <w:jc w:val="both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Grad Mali Lošinj u Primorsko -goranskoj županiji za projekt Sunčane elektrana </w:t>
      </w:r>
      <w:proofErr w:type="spellStart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Ustrine</w:t>
      </w:r>
      <w:proofErr w:type="spellEnd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, 9,</w:t>
      </w:r>
      <w:r w:rsidR="00164F1B">
        <w:rPr>
          <w:rFonts w:asciiTheme="minorHAnsi" w:hAnsiTheme="minorHAnsi"/>
          <w:color w:val="404040" w:themeColor="text1" w:themeTint="BF"/>
          <w:sz w:val="21"/>
          <w:szCs w:val="21"/>
        </w:rPr>
        <w:t>99 MW</w:t>
      </w: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="00FA6855">
        <w:rPr>
          <w:rFonts w:asciiTheme="minorHAnsi" w:hAnsiTheme="minorHAnsi"/>
          <w:color w:val="404040" w:themeColor="text1" w:themeTint="BF"/>
          <w:sz w:val="21"/>
          <w:szCs w:val="21"/>
        </w:rPr>
        <w:t>(</w:t>
      </w:r>
      <w:r w:rsidR="00164F1B">
        <w:rPr>
          <w:rFonts w:asciiTheme="minorHAnsi" w:hAnsiTheme="minorHAnsi"/>
          <w:color w:val="404040" w:themeColor="text1" w:themeTint="BF"/>
          <w:sz w:val="21"/>
          <w:szCs w:val="21"/>
        </w:rPr>
        <w:t>P</w:t>
      </w:r>
      <w:r w:rsidR="00FA6855">
        <w:rPr>
          <w:rFonts w:asciiTheme="minorHAnsi" w:hAnsiTheme="minorHAnsi"/>
          <w:color w:val="404040" w:themeColor="text1" w:themeTint="BF"/>
          <w:sz w:val="21"/>
          <w:szCs w:val="21"/>
        </w:rPr>
        <w:t>otpisnik ovog  sporazumu</w:t>
      </w: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 je i Javna ustanova Zavod za prostorno uređenje Primorsko goranske županije</w:t>
      </w:r>
      <w:r w:rsidR="00FA6855">
        <w:rPr>
          <w:rFonts w:asciiTheme="minorHAnsi" w:hAnsiTheme="minorHAnsi"/>
          <w:color w:val="404040" w:themeColor="text1" w:themeTint="BF"/>
          <w:sz w:val="21"/>
          <w:szCs w:val="21"/>
        </w:rPr>
        <w:t>)</w:t>
      </w:r>
    </w:p>
    <w:p w:rsidR="00884CC2" w:rsidRPr="00884CC2" w:rsidRDefault="00884CC2" w:rsidP="00053D0E">
      <w:pPr>
        <w:pStyle w:val="ListParagraph"/>
        <w:numPr>
          <w:ilvl w:val="0"/>
          <w:numId w:val="3"/>
        </w:numPr>
        <w:spacing w:after="80" w:line="192" w:lineRule="auto"/>
        <w:ind w:left="0" w:hanging="357"/>
        <w:jc w:val="both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Grad Lipik u Požeško-slavonskoj županiji za projekt Sunčane elektrane L</w:t>
      </w:r>
      <w:r w:rsidR="00FA6855">
        <w:rPr>
          <w:rFonts w:asciiTheme="minorHAnsi" w:hAnsiTheme="minorHAnsi"/>
          <w:color w:val="404040" w:themeColor="text1" w:themeTint="BF"/>
          <w:sz w:val="21"/>
          <w:szCs w:val="21"/>
        </w:rPr>
        <w:t>ipik,</w:t>
      </w: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 5 MW</w:t>
      </w:r>
    </w:p>
    <w:p w:rsidR="00884CC2" w:rsidRPr="00884CC2" w:rsidRDefault="00884CC2" w:rsidP="00053D0E">
      <w:pPr>
        <w:pStyle w:val="ListParagraph"/>
        <w:numPr>
          <w:ilvl w:val="0"/>
          <w:numId w:val="3"/>
        </w:numPr>
        <w:spacing w:after="80" w:line="192" w:lineRule="auto"/>
        <w:ind w:left="0" w:hanging="357"/>
        <w:jc w:val="both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Općina </w:t>
      </w:r>
      <w:proofErr w:type="spellStart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Bedekovčina</w:t>
      </w:r>
      <w:proofErr w:type="spellEnd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 u ‎Krapinsko-zagorskoj županiji za projekt Sunčane elektrane </w:t>
      </w:r>
      <w:proofErr w:type="spellStart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Poznanovec</w:t>
      </w:r>
      <w:proofErr w:type="spellEnd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, 2,5 MW</w:t>
      </w:r>
    </w:p>
    <w:p w:rsidR="00884CC2" w:rsidRPr="00884CC2" w:rsidRDefault="00884CC2" w:rsidP="00053D0E">
      <w:pPr>
        <w:pStyle w:val="ListParagraph"/>
        <w:numPr>
          <w:ilvl w:val="0"/>
          <w:numId w:val="3"/>
        </w:numPr>
        <w:spacing w:after="80" w:line="192" w:lineRule="auto"/>
        <w:ind w:left="0" w:hanging="357"/>
        <w:jc w:val="both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Grad Novska u Sisačko-moslavačkoj županiji za projekt Sunčana elektrana Novska, 6 MW </w:t>
      </w:r>
    </w:p>
    <w:p w:rsidR="00884CC2" w:rsidRPr="00884CC2" w:rsidRDefault="00884CC2" w:rsidP="00053D0E">
      <w:pPr>
        <w:pStyle w:val="ListParagraph"/>
        <w:numPr>
          <w:ilvl w:val="0"/>
          <w:numId w:val="3"/>
        </w:numPr>
        <w:spacing w:after="80" w:line="192" w:lineRule="auto"/>
        <w:ind w:left="0" w:hanging="357"/>
        <w:jc w:val="both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Općina </w:t>
      </w:r>
      <w:proofErr w:type="spellStart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Marijanci</w:t>
      </w:r>
      <w:proofErr w:type="spellEnd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 xml:space="preserve"> u Osječko-baranjskoj županiji za projekt Sunčane elektrana </w:t>
      </w:r>
      <w:proofErr w:type="spellStart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Črnkovci</w:t>
      </w:r>
      <w:proofErr w:type="spellEnd"/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, 4,5 MW</w:t>
      </w:r>
    </w:p>
    <w:p w:rsidR="00884CC2" w:rsidRDefault="00884CC2" w:rsidP="00053D0E">
      <w:pPr>
        <w:pStyle w:val="ListParagraph"/>
        <w:numPr>
          <w:ilvl w:val="0"/>
          <w:numId w:val="3"/>
        </w:numPr>
        <w:spacing w:after="80" w:line="192" w:lineRule="auto"/>
        <w:ind w:left="0" w:hanging="357"/>
        <w:jc w:val="both"/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884CC2">
        <w:rPr>
          <w:rFonts w:asciiTheme="minorHAnsi" w:hAnsiTheme="minorHAnsi"/>
          <w:color w:val="404040" w:themeColor="text1" w:themeTint="BF"/>
          <w:sz w:val="21"/>
          <w:szCs w:val="21"/>
        </w:rPr>
        <w:t>Grad Križevci u Koprivničko-križevačkoj županiji za projekt Sun</w:t>
      </w:r>
      <w:r w:rsidR="00FA6855">
        <w:rPr>
          <w:rFonts w:asciiTheme="minorHAnsi" w:hAnsiTheme="minorHAnsi"/>
          <w:color w:val="404040" w:themeColor="text1" w:themeTint="BF"/>
          <w:sz w:val="21"/>
          <w:szCs w:val="21"/>
        </w:rPr>
        <w:t>čane elektrane Križevci, 5 MW</w:t>
      </w:r>
    </w:p>
    <w:p w:rsidR="00B01A9F" w:rsidRPr="00D67C3D" w:rsidRDefault="00884CC2" w:rsidP="00053D0E">
      <w:pPr>
        <w:pStyle w:val="ListParagraph"/>
        <w:numPr>
          <w:ilvl w:val="0"/>
          <w:numId w:val="3"/>
        </w:numPr>
        <w:spacing w:before="120" w:after="120" w:line="192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72495B">
        <w:rPr>
          <w:rFonts w:asciiTheme="minorHAnsi" w:hAnsiTheme="minorHAnsi"/>
          <w:color w:val="404040" w:themeColor="text1" w:themeTint="BF"/>
          <w:sz w:val="21"/>
          <w:szCs w:val="21"/>
        </w:rPr>
        <w:t>Grad Ludbreg u Varaždinskoj županiji  za projekt Sun</w:t>
      </w:r>
      <w:r w:rsidR="00A94ED3">
        <w:rPr>
          <w:rFonts w:asciiTheme="minorHAnsi" w:hAnsiTheme="minorHAnsi"/>
          <w:color w:val="404040" w:themeColor="text1" w:themeTint="BF"/>
          <w:sz w:val="21"/>
          <w:szCs w:val="21"/>
        </w:rPr>
        <w:t xml:space="preserve">čane elektrane </w:t>
      </w:r>
      <w:proofErr w:type="spellStart"/>
      <w:r w:rsidR="00A94ED3">
        <w:rPr>
          <w:rFonts w:asciiTheme="minorHAnsi" w:hAnsiTheme="minorHAnsi"/>
          <w:color w:val="404040" w:themeColor="text1" w:themeTint="BF"/>
          <w:sz w:val="21"/>
          <w:szCs w:val="21"/>
        </w:rPr>
        <w:t>Slokovec</w:t>
      </w:r>
      <w:proofErr w:type="spellEnd"/>
      <w:r w:rsidR="00A94ED3">
        <w:rPr>
          <w:rFonts w:asciiTheme="minorHAnsi" w:hAnsiTheme="minorHAnsi"/>
          <w:color w:val="404040" w:themeColor="text1" w:themeTint="BF"/>
          <w:sz w:val="21"/>
          <w:szCs w:val="21"/>
        </w:rPr>
        <w:t>, 5 MW</w:t>
      </w:r>
    </w:p>
    <w:p w:rsidR="00D67C3D" w:rsidRDefault="00D67C3D" w:rsidP="00D67C3D">
      <w:pPr>
        <w:spacing w:before="120" w:after="120" w:line="192" w:lineRule="auto"/>
        <w:jc w:val="both"/>
        <w:rPr>
          <w:rStyle w:val="FOOTERChar0"/>
          <w:rFonts w:asciiTheme="minorHAnsi" w:hAnsiTheme="minorHAnsi"/>
          <w:color w:val="auto"/>
          <w:sz w:val="20"/>
          <w:szCs w:val="20"/>
          <w:lang w:val="hr-HR"/>
        </w:rPr>
      </w:pPr>
    </w:p>
    <w:p w:rsidR="00D67C3D" w:rsidRDefault="00D67C3D" w:rsidP="00D67C3D">
      <w:pPr>
        <w:spacing w:before="120" w:after="120" w:line="192" w:lineRule="auto"/>
        <w:jc w:val="both"/>
        <w:rPr>
          <w:rStyle w:val="FOOTERChar0"/>
          <w:rFonts w:asciiTheme="minorHAnsi" w:hAnsiTheme="minorHAnsi"/>
          <w:color w:val="auto"/>
          <w:sz w:val="20"/>
          <w:szCs w:val="20"/>
          <w:lang w:val="hr-HR"/>
        </w:rPr>
      </w:pPr>
    </w:p>
    <w:p w:rsidR="00D67C3D" w:rsidRPr="00D67C3D" w:rsidRDefault="00D67C3D" w:rsidP="00D67C3D">
      <w:pPr>
        <w:spacing w:before="120" w:after="120" w:line="192" w:lineRule="auto"/>
        <w:jc w:val="both"/>
        <w:rPr>
          <w:rStyle w:val="FOOTERChar0"/>
          <w:rFonts w:asciiTheme="minorHAnsi" w:hAnsiTheme="minorHAnsi"/>
          <w:color w:val="auto"/>
          <w:sz w:val="20"/>
          <w:szCs w:val="20"/>
          <w:lang w:val="hr-HR"/>
        </w:rPr>
      </w:pPr>
      <w:r>
        <w:rPr>
          <w:rFonts w:asciiTheme="minorHAnsi" w:hAnsiTheme="minorHAnsi"/>
          <w:b w:val="0"/>
          <w:noProof/>
          <w:color w:val="auto"/>
          <w:sz w:val="20"/>
          <w:szCs w:val="20"/>
          <w:lang w:eastAsia="hr-HR"/>
        </w:rPr>
        <w:lastRenderedPageBreak/>
        <w:drawing>
          <wp:inline distT="0" distB="0" distL="0" distR="0">
            <wp:extent cx="6148082" cy="4086225"/>
            <wp:effectExtent l="0" t="0" r="5080" b="0"/>
            <wp:docPr id="2" name="Picture 2" descr="C:\Users\lkopjar1\Desktop\ZA WEB NAKON KORONE\Frane Barbarić_predsjednik Uprave HEP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 NAKON KORONE\Frane Barbarić_predsjednik Uprave HEP-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82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C3D" w:rsidRPr="00D67C3D" w:rsidSect="00F54A56">
      <w:headerReference w:type="default" r:id="rId13"/>
      <w:footerReference w:type="default" r:id="rId14"/>
      <w:pgSz w:w="11906" w:h="16838"/>
      <w:pgMar w:top="1135" w:right="991" w:bottom="1417" w:left="1276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8E" w:rsidRDefault="0015448E" w:rsidP="004E7467">
      <w:r>
        <w:separator/>
      </w:r>
    </w:p>
  </w:endnote>
  <w:endnote w:type="continuationSeparator" w:id="0">
    <w:p w:rsidR="0015448E" w:rsidRDefault="0015448E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06" w:rsidRDefault="007E6406" w:rsidP="00527A7D">
    <w:pPr>
      <w:pStyle w:val="Footer"/>
      <w:jc w:val="center"/>
    </w:pPr>
  </w:p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8E" w:rsidRDefault="0015448E" w:rsidP="004E7467">
      <w:r>
        <w:separator/>
      </w:r>
    </w:p>
  </w:footnote>
  <w:footnote w:type="continuationSeparator" w:id="0">
    <w:p w:rsidR="0015448E" w:rsidRDefault="0015448E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36" w:rsidRDefault="00D74E3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B29"/>
    <w:multiLevelType w:val="hybridMultilevel"/>
    <w:tmpl w:val="20EEB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68BD"/>
    <w:multiLevelType w:val="hybridMultilevel"/>
    <w:tmpl w:val="EFECC2B8"/>
    <w:lvl w:ilvl="0" w:tplc="041A000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5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2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957" w:hanging="360"/>
      </w:pPr>
      <w:rPr>
        <w:rFonts w:ascii="Wingdings" w:hAnsi="Wingdings" w:hint="default"/>
      </w:rPr>
    </w:lvl>
  </w:abstractNum>
  <w:abstractNum w:abstractNumId="2">
    <w:nsid w:val="460D1A48"/>
    <w:multiLevelType w:val="hybridMultilevel"/>
    <w:tmpl w:val="6AC0BD58"/>
    <w:lvl w:ilvl="0" w:tplc="FE7EE85A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405EE0"/>
    <w:multiLevelType w:val="hybridMultilevel"/>
    <w:tmpl w:val="1C8C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127DE"/>
    <w:rsid w:val="00021241"/>
    <w:rsid w:val="00025379"/>
    <w:rsid w:val="000320C0"/>
    <w:rsid w:val="00042A91"/>
    <w:rsid w:val="00044537"/>
    <w:rsid w:val="00044EF2"/>
    <w:rsid w:val="00045282"/>
    <w:rsid w:val="00047098"/>
    <w:rsid w:val="00050338"/>
    <w:rsid w:val="000507AE"/>
    <w:rsid w:val="00053D0E"/>
    <w:rsid w:val="0005478B"/>
    <w:rsid w:val="0005511E"/>
    <w:rsid w:val="00061590"/>
    <w:rsid w:val="00071360"/>
    <w:rsid w:val="000838B3"/>
    <w:rsid w:val="00084EDB"/>
    <w:rsid w:val="00095BCF"/>
    <w:rsid w:val="00096ACB"/>
    <w:rsid w:val="000B2267"/>
    <w:rsid w:val="000D2A0D"/>
    <w:rsid w:val="000E0666"/>
    <w:rsid w:val="000E187B"/>
    <w:rsid w:val="000E1FFF"/>
    <w:rsid w:val="000E2618"/>
    <w:rsid w:val="001001FA"/>
    <w:rsid w:val="001064DC"/>
    <w:rsid w:val="0011743C"/>
    <w:rsid w:val="00126959"/>
    <w:rsid w:val="0013740E"/>
    <w:rsid w:val="00140E02"/>
    <w:rsid w:val="001419AF"/>
    <w:rsid w:val="001426F4"/>
    <w:rsid w:val="00147800"/>
    <w:rsid w:val="0015448E"/>
    <w:rsid w:val="00155E02"/>
    <w:rsid w:val="0015778F"/>
    <w:rsid w:val="001601BC"/>
    <w:rsid w:val="00164F1B"/>
    <w:rsid w:val="00167F05"/>
    <w:rsid w:val="00172D03"/>
    <w:rsid w:val="00176EE4"/>
    <w:rsid w:val="00177910"/>
    <w:rsid w:val="00180D35"/>
    <w:rsid w:val="00183CB4"/>
    <w:rsid w:val="00185939"/>
    <w:rsid w:val="001864BE"/>
    <w:rsid w:val="001971D0"/>
    <w:rsid w:val="001A27A7"/>
    <w:rsid w:val="001A4AF1"/>
    <w:rsid w:val="001A6C5C"/>
    <w:rsid w:val="001A79BD"/>
    <w:rsid w:val="001B78D8"/>
    <w:rsid w:val="001C1B1E"/>
    <w:rsid w:val="001C2413"/>
    <w:rsid w:val="001C5FB5"/>
    <w:rsid w:val="001D79F1"/>
    <w:rsid w:val="001E5164"/>
    <w:rsid w:val="001E68AF"/>
    <w:rsid w:val="001F4FE5"/>
    <w:rsid w:val="001F53CD"/>
    <w:rsid w:val="0020017F"/>
    <w:rsid w:val="002003D7"/>
    <w:rsid w:val="00210CE4"/>
    <w:rsid w:val="00227604"/>
    <w:rsid w:val="00236C79"/>
    <w:rsid w:val="002371B6"/>
    <w:rsid w:val="00254732"/>
    <w:rsid w:val="00260619"/>
    <w:rsid w:val="00267764"/>
    <w:rsid w:val="00274E25"/>
    <w:rsid w:val="00276DC7"/>
    <w:rsid w:val="00285BC6"/>
    <w:rsid w:val="002A46BF"/>
    <w:rsid w:val="002A6DFA"/>
    <w:rsid w:val="002A7267"/>
    <w:rsid w:val="002B4890"/>
    <w:rsid w:val="002B5B0F"/>
    <w:rsid w:val="002C1A41"/>
    <w:rsid w:val="002C1D97"/>
    <w:rsid w:val="002E2E77"/>
    <w:rsid w:val="002E48A8"/>
    <w:rsid w:val="002F17DA"/>
    <w:rsid w:val="00303A00"/>
    <w:rsid w:val="0030596B"/>
    <w:rsid w:val="0030772F"/>
    <w:rsid w:val="00315652"/>
    <w:rsid w:val="003231ED"/>
    <w:rsid w:val="00323A29"/>
    <w:rsid w:val="00325CED"/>
    <w:rsid w:val="00326800"/>
    <w:rsid w:val="00330DB0"/>
    <w:rsid w:val="00333DDB"/>
    <w:rsid w:val="00337574"/>
    <w:rsid w:val="00342962"/>
    <w:rsid w:val="0034308D"/>
    <w:rsid w:val="00364492"/>
    <w:rsid w:val="003657FB"/>
    <w:rsid w:val="003659A9"/>
    <w:rsid w:val="0036699E"/>
    <w:rsid w:val="00366A83"/>
    <w:rsid w:val="003706DB"/>
    <w:rsid w:val="00372264"/>
    <w:rsid w:val="003821B4"/>
    <w:rsid w:val="0038660D"/>
    <w:rsid w:val="00391720"/>
    <w:rsid w:val="003948E3"/>
    <w:rsid w:val="003A4EF1"/>
    <w:rsid w:val="003B050B"/>
    <w:rsid w:val="003B16F1"/>
    <w:rsid w:val="003C036F"/>
    <w:rsid w:val="003C4B0D"/>
    <w:rsid w:val="003D12E8"/>
    <w:rsid w:val="003E6D1E"/>
    <w:rsid w:val="003F2564"/>
    <w:rsid w:val="00404AFE"/>
    <w:rsid w:val="00405993"/>
    <w:rsid w:val="00411246"/>
    <w:rsid w:val="00424D08"/>
    <w:rsid w:val="0042625A"/>
    <w:rsid w:val="0042747D"/>
    <w:rsid w:val="00430AF5"/>
    <w:rsid w:val="004312F6"/>
    <w:rsid w:val="0043446F"/>
    <w:rsid w:val="00443E3C"/>
    <w:rsid w:val="00450853"/>
    <w:rsid w:val="00452659"/>
    <w:rsid w:val="00463701"/>
    <w:rsid w:val="00465D96"/>
    <w:rsid w:val="00492104"/>
    <w:rsid w:val="00494DD7"/>
    <w:rsid w:val="004972BC"/>
    <w:rsid w:val="004A35AF"/>
    <w:rsid w:val="004B0775"/>
    <w:rsid w:val="004C5B88"/>
    <w:rsid w:val="004D4674"/>
    <w:rsid w:val="004E07B8"/>
    <w:rsid w:val="004E7467"/>
    <w:rsid w:val="004F01C3"/>
    <w:rsid w:val="004F18E1"/>
    <w:rsid w:val="004F598B"/>
    <w:rsid w:val="005118E3"/>
    <w:rsid w:val="0051671C"/>
    <w:rsid w:val="00517476"/>
    <w:rsid w:val="0052243B"/>
    <w:rsid w:val="005239A1"/>
    <w:rsid w:val="00527A7D"/>
    <w:rsid w:val="00535567"/>
    <w:rsid w:val="005424E7"/>
    <w:rsid w:val="00542F7F"/>
    <w:rsid w:val="005451E7"/>
    <w:rsid w:val="00550C55"/>
    <w:rsid w:val="005535BD"/>
    <w:rsid w:val="00554851"/>
    <w:rsid w:val="00566A74"/>
    <w:rsid w:val="00573B44"/>
    <w:rsid w:val="00582A70"/>
    <w:rsid w:val="0058300E"/>
    <w:rsid w:val="005836EA"/>
    <w:rsid w:val="00586631"/>
    <w:rsid w:val="005A1D22"/>
    <w:rsid w:val="005A24FA"/>
    <w:rsid w:val="005A386E"/>
    <w:rsid w:val="005B6CF2"/>
    <w:rsid w:val="005C11EA"/>
    <w:rsid w:val="005C7AAC"/>
    <w:rsid w:val="005D5695"/>
    <w:rsid w:val="005E0E29"/>
    <w:rsid w:val="005E1AB5"/>
    <w:rsid w:val="005F3FC6"/>
    <w:rsid w:val="00603BA7"/>
    <w:rsid w:val="00604847"/>
    <w:rsid w:val="00613BCD"/>
    <w:rsid w:val="006164B7"/>
    <w:rsid w:val="006173E0"/>
    <w:rsid w:val="0063518E"/>
    <w:rsid w:val="006361F3"/>
    <w:rsid w:val="006368F5"/>
    <w:rsid w:val="006462E8"/>
    <w:rsid w:val="00667581"/>
    <w:rsid w:val="006732C7"/>
    <w:rsid w:val="00677F5F"/>
    <w:rsid w:val="00691235"/>
    <w:rsid w:val="00692623"/>
    <w:rsid w:val="00694E7E"/>
    <w:rsid w:val="006955F9"/>
    <w:rsid w:val="006A2008"/>
    <w:rsid w:val="006A4C51"/>
    <w:rsid w:val="006B3A2E"/>
    <w:rsid w:val="006C437B"/>
    <w:rsid w:val="006E10ED"/>
    <w:rsid w:val="006E132D"/>
    <w:rsid w:val="006E3C90"/>
    <w:rsid w:val="006F38EA"/>
    <w:rsid w:val="00702D82"/>
    <w:rsid w:val="00704714"/>
    <w:rsid w:val="00706ECE"/>
    <w:rsid w:val="00713A88"/>
    <w:rsid w:val="00717918"/>
    <w:rsid w:val="00717FD4"/>
    <w:rsid w:val="0072495B"/>
    <w:rsid w:val="007254F4"/>
    <w:rsid w:val="00725739"/>
    <w:rsid w:val="0073131E"/>
    <w:rsid w:val="00736250"/>
    <w:rsid w:val="0073656A"/>
    <w:rsid w:val="00750A9E"/>
    <w:rsid w:val="00754042"/>
    <w:rsid w:val="00754A5C"/>
    <w:rsid w:val="007564EB"/>
    <w:rsid w:val="007566B3"/>
    <w:rsid w:val="0076694D"/>
    <w:rsid w:val="00771927"/>
    <w:rsid w:val="0077505C"/>
    <w:rsid w:val="007878A6"/>
    <w:rsid w:val="0079379F"/>
    <w:rsid w:val="00796303"/>
    <w:rsid w:val="007A1E34"/>
    <w:rsid w:val="007A31FC"/>
    <w:rsid w:val="007A4152"/>
    <w:rsid w:val="007B13D8"/>
    <w:rsid w:val="007B1873"/>
    <w:rsid w:val="007B1CBB"/>
    <w:rsid w:val="007B4553"/>
    <w:rsid w:val="007B7F04"/>
    <w:rsid w:val="007C11EC"/>
    <w:rsid w:val="007C2FA6"/>
    <w:rsid w:val="007D33CB"/>
    <w:rsid w:val="007E42E1"/>
    <w:rsid w:val="007E6406"/>
    <w:rsid w:val="00801C8C"/>
    <w:rsid w:val="00805BDA"/>
    <w:rsid w:val="00816A45"/>
    <w:rsid w:val="008229BA"/>
    <w:rsid w:val="0082775D"/>
    <w:rsid w:val="00835415"/>
    <w:rsid w:val="008430DD"/>
    <w:rsid w:val="00844B6C"/>
    <w:rsid w:val="00852C90"/>
    <w:rsid w:val="00860D1C"/>
    <w:rsid w:val="00871E64"/>
    <w:rsid w:val="00873C4C"/>
    <w:rsid w:val="0087615A"/>
    <w:rsid w:val="00884CC2"/>
    <w:rsid w:val="0089039D"/>
    <w:rsid w:val="008928A5"/>
    <w:rsid w:val="008962AB"/>
    <w:rsid w:val="008972D7"/>
    <w:rsid w:val="008A50D3"/>
    <w:rsid w:val="008A736D"/>
    <w:rsid w:val="008C7383"/>
    <w:rsid w:val="008C7E44"/>
    <w:rsid w:val="008D3037"/>
    <w:rsid w:val="008F15C8"/>
    <w:rsid w:val="009039CB"/>
    <w:rsid w:val="009072F2"/>
    <w:rsid w:val="00910537"/>
    <w:rsid w:val="0091351B"/>
    <w:rsid w:val="009158E2"/>
    <w:rsid w:val="00917E38"/>
    <w:rsid w:val="00925D36"/>
    <w:rsid w:val="00930778"/>
    <w:rsid w:val="00935203"/>
    <w:rsid w:val="0094249F"/>
    <w:rsid w:val="009426D3"/>
    <w:rsid w:val="00951A1B"/>
    <w:rsid w:val="00954024"/>
    <w:rsid w:val="00963EF5"/>
    <w:rsid w:val="00966FA4"/>
    <w:rsid w:val="0096796E"/>
    <w:rsid w:val="00973C68"/>
    <w:rsid w:val="00974407"/>
    <w:rsid w:val="00975C1F"/>
    <w:rsid w:val="009763BC"/>
    <w:rsid w:val="00985B6C"/>
    <w:rsid w:val="00991AB3"/>
    <w:rsid w:val="009922C6"/>
    <w:rsid w:val="009A088C"/>
    <w:rsid w:val="009A25E1"/>
    <w:rsid w:val="009A5479"/>
    <w:rsid w:val="009B2A81"/>
    <w:rsid w:val="009B6635"/>
    <w:rsid w:val="009C3DAB"/>
    <w:rsid w:val="009D1AFF"/>
    <w:rsid w:val="009D3A78"/>
    <w:rsid w:val="009E1081"/>
    <w:rsid w:val="009E5942"/>
    <w:rsid w:val="009F67FD"/>
    <w:rsid w:val="00A01C2B"/>
    <w:rsid w:val="00A065F9"/>
    <w:rsid w:val="00A06F86"/>
    <w:rsid w:val="00A07807"/>
    <w:rsid w:val="00A10E8F"/>
    <w:rsid w:val="00A2127D"/>
    <w:rsid w:val="00A23BC2"/>
    <w:rsid w:val="00A25871"/>
    <w:rsid w:val="00A327FA"/>
    <w:rsid w:val="00A33ED1"/>
    <w:rsid w:val="00A40EB5"/>
    <w:rsid w:val="00A46B32"/>
    <w:rsid w:val="00A5587F"/>
    <w:rsid w:val="00A56B79"/>
    <w:rsid w:val="00A62C13"/>
    <w:rsid w:val="00A6662A"/>
    <w:rsid w:val="00A70E1A"/>
    <w:rsid w:val="00A819F8"/>
    <w:rsid w:val="00A84CD2"/>
    <w:rsid w:val="00A9472E"/>
    <w:rsid w:val="00A94ED3"/>
    <w:rsid w:val="00AA1B5D"/>
    <w:rsid w:val="00AA52C2"/>
    <w:rsid w:val="00AB1506"/>
    <w:rsid w:val="00AC4C86"/>
    <w:rsid w:val="00AC72FC"/>
    <w:rsid w:val="00AE0D1C"/>
    <w:rsid w:val="00AE53DF"/>
    <w:rsid w:val="00B00654"/>
    <w:rsid w:val="00B01A9F"/>
    <w:rsid w:val="00B1077F"/>
    <w:rsid w:val="00B22329"/>
    <w:rsid w:val="00B231C6"/>
    <w:rsid w:val="00B345D3"/>
    <w:rsid w:val="00B44F2D"/>
    <w:rsid w:val="00B4703B"/>
    <w:rsid w:val="00B52384"/>
    <w:rsid w:val="00B548C6"/>
    <w:rsid w:val="00B77455"/>
    <w:rsid w:val="00B8694C"/>
    <w:rsid w:val="00B8781D"/>
    <w:rsid w:val="00B90635"/>
    <w:rsid w:val="00B93A76"/>
    <w:rsid w:val="00BB26BC"/>
    <w:rsid w:val="00BD509B"/>
    <w:rsid w:val="00BD609E"/>
    <w:rsid w:val="00BE1A4A"/>
    <w:rsid w:val="00BE464D"/>
    <w:rsid w:val="00BF01C4"/>
    <w:rsid w:val="00BF4A3C"/>
    <w:rsid w:val="00BF7BFA"/>
    <w:rsid w:val="00C50CC9"/>
    <w:rsid w:val="00C51890"/>
    <w:rsid w:val="00C527A4"/>
    <w:rsid w:val="00C56A3C"/>
    <w:rsid w:val="00C75C62"/>
    <w:rsid w:val="00C81F28"/>
    <w:rsid w:val="00C83D05"/>
    <w:rsid w:val="00C84A6A"/>
    <w:rsid w:val="00C84A8E"/>
    <w:rsid w:val="00CA619D"/>
    <w:rsid w:val="00CB4679"/>
    <w:rsid w:val="00CB46AC"/>
    <w:rsid w:val="00CB4D7F"/>
    <w:rsid w:val="00CB5B52"/>
    <w:rsid w:val="00CD1D79"/>
    <w:rsid w:val="00CD36CB"/>
    <w:rsid w:val="00CD62BE"/>
    <w:rsid w:val="00CE7481"/>
    <w:rsid w:val="00CF363B"/>
    <w:rsid w:val="00CF6866"/>
    <w:rsid w:val="00D17645"/>
    <w:rsid w:val="00D24731"/>
    <w:rsid w:val="00D27117"/>
    <w:rsid w:val="00D27367"/>
    <w:rsid w:val="00D27732"/>
    <w:rsid w:val="00D277C5"/>
    <w:rsid w:val="00D411B7"/>
    <w:rsid w:val="00D413FC"/>
    <w:rsid w:val="00D41BF3"/>
    <w:rsid w:val="00D44599"/>
    <w:rsid w:val="00D542D7"/>
    <w:rsid w:val="00D67C3D"/>
    <w:rsid w:val="00D7218C"/>
    <w:rsid w:val="00D738DD"/>
    <w:rsid w:val="00D74A13"/>
    <w:rsid w:val="00D74E36"/>
    <w:rsid w:val="00D76BE0"/>
    <w:rsid w:val="00DA1D29"/>
    <w:rsid w:val="00DA46DD"/>
    <w:rsid w:val="00DA634A"/>
    <w:rsid w:val="00DB1A9D"/>
    <w:rsid w:val="00DC317C"/>
    <w:rsid w:val="00DC3938"/>
    <w:rsid w:val="00DD0D70"/>
    <w:rsid w:val="00DD2ABB"/>
    <w:rsid w:val="00DE3721"/>
    <w:rsid w:val="00DF63D4"/>
    <w:rsid w:val="00E01F91"/>
    <w:rsid w:val="00E12038"/>
    <w:rsid w:val="00E1430B"/>
    <w:rsid w:val="00E1658C"/>
    <w:rsid w:val="00E20A0C"/>
    <w:rsid w:val="00E22651"/>
    <w:rsid w:val="00E4638A"/>
    <w:rsid w:val="00E564EB"/>
    <w:rsid w:val="00E57A0C"/>
    <w:rsid w:val="00E619C8"/>
    <w:rsid w:val="00E711A3"/>
    <w:rsid w:val="00E95B78"/>
    <w:rsid w:val="00E95FFE"/>
    <w:rsid w:val="00E97B76"/>
    <w:rsid w:val="00EA542F"/>
    <w:rsid w:val="00EB4273"/>
    <w:rsid w:val="00EB7C69"/>
    <w:rsid w:val="00EC483A"/>
    <w:rsid w:val="00EC6D30"/>
    <w:rsid w:val="00EC6E89"/>
    <w:rsid w:val="00EE010D"/>
    <w:rsid w:val="00F07A7E"/>
    <w:rsid w:val="00F15246"/>
    <w:rsid w:val="00F227DD"/>
    <w:rsid w:val="00F24E97"/>
    <w:rsid w:val="00F31E25"/>
    <w:rsid w:val="00F41591"/>
    <w:rsid w:val="00F41F30"/>
    <w:rsid w:val="00F477D0"/>
    <w:rsid w:val="00F50FB5"/>
    <w:rsid w:val="00F52F32"/>
    <w:rsid w:val="00F5377C"/>
    <w:rsid w:val="00F53983"/>
    <w:rsid w:val="00F54A56"/>
    <w:rsid w:val="00F54FF7"/>
    <w:rsid w:val="00F56D2A"/>
    <w:rsid w:val="00F6661E"/>
    <w:rsid w:val="00F75774"/>
    <w:rsid w:val="00F80913"/>
    <w:rsid w:val="00F8108B"/>
    <w:rsid w:val="00F82A92"/>
    <w:rsid w:val="00F83EF4"/>
    <w:rsid w:val="00F9299B"/>
    <w:rsid w:val="00F9613D"/>
    <w:rsid w:val="00FA524B"/>
    <w:rsid w:val="00FA6855"/>
    <w:rsid w:val="00FB0ABD"/>
    <w:rsid w:val="00FB263D"/>
    <w:rsid w:val="00FC7817"/>
    <w:rsid w:val="00FC7B59"/>
    <w:rsid w:val="00FD2662"/>
    <w:rsid w:val="00FE1D4D"/>
    <w:rsid w:val="00FE7765"/>
    <w:rsid w:val="00FF0086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customStyle="1" w:styleId="Footer1">
    <w:name w:val="Footer1"/>
    <w:basedOn w:val="Normal"/>
    <w:link w:val="FOOTERChar0"/>
    <w:qFormat/>
    <w:rsid w:val="007B1CBB"/>
    <w:rPr>
      <w:rFonts w:eastAsiaTheme="minorHAnsi"/>
      <w:color w:val="7F7F7F" w:themeColor="text1" w:themeTint="80"/>
      <w:sz w:val="16"/>
      <w:szCs w:val="16"/>
      <w:lang w:val="en-US"/>
    </w:rPr>
  </w:style>
  <w:style w:type="character" w:customStyle="1" w:styleId="FOOTERChar0">
    <w:name w:val="FOOTER Char"/>
    <w:basedOn w:val="DefaultParagraphFont"/>
    <w:link w:val="Footer1"/>
    <w:rsid w:val="007B1CBB"/>
    <w:rPr>
      <w:rFonts w:ascii="Arial" w:hAnsi="Arial" w:cs="Arial"/>
      <w:b/>
      <w:color w:val="7F7F7F" w:themeColor="text1" w:themeTint="8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customStyle="1" w:styleId="Footer1">
    <w:name w:val="Footer1"/>
    <w:basedOn w:val="Normal"/>
    <w:link w:val="FOOTERChar0"/>
    <w:qFormat/>
    <w:rsid w:val="007B1CBB"/>
    <w:rPr>
      <w:rFonts w:eastAsiaTheme="minorHAnsi"/>
      <w:color w:val="7F7F7F" w:themeColor="text1" w:themeTint="80"/>
      <w:sz w:val="16"/>
      <w:szCs w:val="16"/>
      <w:lang w:val="en-US"/>
    </w:rPr>
  </w:style>
  <w:style w:type="character" w:customStyle="1" w:styleId="FOOTERChar0">
    <w:name w:val="FOOTER Char"/>
    <w:basedOn w:val="DefaultParagraphFont"/>
    <w:link w:val="Footer1"/>
    <w:rsid w:val="007B1CBB"/>
    <w:rPr>
      <w:rFonts w:ascii="Arial" w:hAnsi="Arial" w:cs="Arial"/>
      <w:b/>
      <w:color w:val="7F7F7F" w:themeColor="text1" w:themeTint="8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p.hr/obavijest/obavijest-o-zahtjevu-za-iskazivanjem-interesa/34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E205-674A-43A9-84BD-EFDF3572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20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7</cp:revision>
  <cp:lastPrinted>2020-07-02T09:31:00Z</cp:lastPrinted>
  <dcterms:created xsi:type="dcterms:W3CDTF">2020-07-02T11:22:00Z</dcterms:created>
  <dcterms:modified xsi:type="dcterms:W3CDTF">2020-07-03T12:23:00Z</dcterms:modified>
</cp:coreProperties>
</file>